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577A" w:rsidRPr="00AE577A" w:rsidRDefault="00AE577A" w:rsidP="00AE577A">
      <w:pPr>
        <w:pStyle w:val="Normlnweb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PROHLÁŠENÍ O ZPRACOVÁNÍ OSOBNÍCH ÚDAJŮ </w:t>
      </w:r>
    </w:p>
    <w:p w:rsidR="00AE577A" w:rsidRPr="00AE577A" w:rsidRDefault="00AE577A" w:rsidP="00AE577A">
      <w:pPr>
        <w:pStyle w:val="Normlnweb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Prohlášeni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dle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nařízeni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Evropského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parlamentu a Rady (EU) 2016/679 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ochrane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fyzických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osob v souvislosti se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poučeni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subjektů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̊ (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dále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jen „GDPR“). </w:t>
      </w:r>
    </w:p>
    <w:p w:rsidR="00AE577A" w:rsidRPr="00AE577A" w:rsidRDefault="00AE577A" w:rsidP="00AE577A">
      <w:pPr>
        <w:pStyle w:val="Normlnweb"/>
        <w:numPr>
          <w:ilvl w:val="0"/>
          <w:numId w:val="1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</w:p>
    <w:p w:rsidR="00AE577A" w:rsidRPr="00AE577A" w:rsidRDefault="00AE577A" w:rsidP="00AE577A"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je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společnost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E577A">
        <w:rPr>
          <w:rFonts w:ascii="Verdana" w:hAnsi="Verdana" w:cs="Calibri"/>
          <w:bCs/>
          <w:color w:val="000000" w:themeColor="text1"/>
          <w:sz w:val="18"/>
          <w:szCs w:val="1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J</w:t>
      </w:r>
      <w:r w:rsidRPr="00AE577A">
        <w:rPr>
          <w:rFonts w:ascii="Helvetica" w:hAnsi="Helvetica"/>
          <w:color w:val="000000"/>
          <w:sz w:val="18"/>
          <w:szCs w:val="18"/>
        </w:rPr>
        <w:t xml:space="preserve">DEREIF Prag </w:t>
      </w:r>
      <w:proofErr w:type="spellStart"/>
      <w:r w:rsidRPr="00AE577A">
        <w:rPr>
          <w:rFonts w:ascii="Helvetica" w:hAnsi="Helvetica"/>
          <w:color w:val="000000"/>
          <w:sz w:val="18"/>
          <w:szCs w:val="18"/>
        </w:rPr>
        <w:t>Oasis</w:t>
      </w:r>
      <w:proofErr w:type="spellEnd"/>
      <w:r w:rsidRPr="00AE577A">
        <w:rPr>
          <w:rFonts w:ascii="Helvetica" w:hAnsi="Helvetica"/>
          <w:color w:val="000000"/>
          <w:sz w:val="18"/>
          <w:szCs w:val="18"/>
        </w:rPr>
        <w:t xml:space="preserve"> s.r.o.</w:t>
      </w: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, (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dále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jen „</w:t>
      </w:r>
      <w:proofErr w:type="spellStart"/>
      <w:r w:rsidRPr="00AE577A">
        <w:rPr>
          <w:rFonts w:ascii="Calibri" w:hAnsi="Calibri" w:cs="Calibr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“),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Vás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tímto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 souladu s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čl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12 GDPR informuje 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Vašich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a 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Vašich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právech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AE577A" w:rsidRPr="00AE577A" w:rsidRDefault="00AE577A" w:rsidP="00AE577A">
      <w:pPr>
        <w:pStyle w:val="Normlnweb"/>
        <w:ind w:left="720"/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ctíme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respektujeme standardy ochrany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dodržujeme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následujíci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zásady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: osobní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zpracováváme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vždy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pro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jasne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srozumitelne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stanovený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účel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stanovenými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prostředky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způsobem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pouze pro dobu,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je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nezbytne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nutna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́. Osobní data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našich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klientů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zaměstnancu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sbíráme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pouze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nutném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rozsahu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nepředáváme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třetím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osobám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s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výjimkou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těch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přímo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podíli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na procesech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uvnitr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společnosti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za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účelem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jejich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nutného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́.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Spolupracujíci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́ osoby (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zaměstnanci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subdodavatelé) jsou nuceni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přihlásit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se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kzásadám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dat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podstupují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pravidelna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školeni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́. </w:t>
      </w:r>
    </w:p>
    <w:p w:rsidR="00AE577A" w:rsidRPr="00AE577A" w:rsidRDefault="00AE577A" w:rsidP="00AE577A">
      <w:pPr>
        <w:pStyle w:val="Normlnweb"/>
        <w:ind w:left="720"/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Společnost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jako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dat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vytvořila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funkci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Pověřence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pro ochranu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dat (DPO),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dohlíži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na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řádnou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ochranu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dat jejich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majitelu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̊, tedy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zákazníku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společnosti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Kontakt na DPO je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zveřejněny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dálkove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dostupným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způsobem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na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webových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stránkách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společnosti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). </w:t>
      </w:r>
    </w:p>
    <w:p w:rsidR="00AE577A" w:rsidRPr="00AE577A" w:rsidRDefault="00AE577A" w:rsidP="00AE577A">
      <w:pPr>
        <w:pStyle w:val="Normlnweb"/>
        <w:numPr>
          <w:ilvl w:val="0"/>
          <w:numId w:val="1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Rozsah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</w:p>
    <w:p w:rsidR="00AE577A" w:rsidRPr="00AE577A" w:rsidRDefault="00AE577A" w:rsidP="00AE577A">
      <w:pPr>
        <w:pStyle w:val="Normlnweb"/>
        <w:ind w:left="720"/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Osobní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jsou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 rozsahu,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jakém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příslušny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subjekt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poskytl, a to v souvislosti s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uzavřením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smluvního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jiného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právního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vztahu se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z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důvodu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oprávněného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zájmu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nebo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shromáždil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jinak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zpracováva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je v souladu s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platnými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právními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předpisy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k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plněni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zákonných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povinností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AE577A" w:rsidRPr="00AE577A" w:rsidRDefault="00AE577A" w:rsidP="00AE577A">
      <w:pPr>
        <w:pStyle w:val="Normlnweb"/>
        <w:numPr>
          <w:ilvl w:val="0"/>
          <w:numId w:val="1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Zdroje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</w:p>
    <w:p w:rsidR="00AE577A" w:rsidRPr="00AE577A" w:rsidRDefault="00AE577A" w:rsidP="00AE577A">
      <w:pPr>
        <w:pStyle w:val="Normlnweb"/>
        <w:numPr>
          <w:ilvl w:val="1"/>
          <w:numId w:val="1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přímo</w:t>
      </w:r>
      <w:proofErr w:type="spellEnd"/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od subjektů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(registrace,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webove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kontaktni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formuláře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chat, e-maily, telefon,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webove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stránky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vizitky aj.) </w:t>
      </w:r>
    </w:p>
    <w:p w:rsidR="00AE577A" w:rsidRPr="00AE577A" w:rsidRDefault="00AE577A" w:rsidP="00AE577A">
      <w:pPr>
        <w:pStyle w:val="Normlnweb"/>
        <w:numPr>
          <w:ilvl w:val="1"/>
          <w:numId w:val="1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veřejne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̌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přístupne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rejstříky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, seznamy a evidence (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napr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̌.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obchodni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rejstřík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živnostensky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rejstřík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katastr nemovitostí apod.) </w:t>
      </w:r>
    </w:p>
    <w:p w:rsidR="00AE577A" w:rsidRPr="00AE577A" w:rsidRDefault="00AE577A" w:rsidP="00AE577A">
      <w:pPr>
        <w:pStyle w:val="Normlnweb"/>
        <w:numPr>
          <w:ilvl w:val="1"/>
          <w:numId w:val="1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automatizovany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́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záznam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elektronicke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komunikace na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základe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zákona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127/2005 Sb.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vyhlášky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357/2012 Sb. </w:t>
      </w:r>
    </w:p>
    <w:p w:rsidR="00AE577A" w:rsidRPr="00AE577A" w:rsidRDefault="00AE577A" w:rsidP="00AE577A">
      <w:pPr>
        <w:pStyle w:val="Normlnweb"/>
        <w:numPr>
          <w:ilvl w:val="0"/>
          <w:numId w:val="1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Kategorie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̊,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ktere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́ jsou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předmětem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</w:p>
    <w:p w:rsidR="00AE577A" w:rsidRPr="00AE577A" w:rsidRDefault="00AE577A" w:rsidP="00AE577A">
      <w:pPr>
        <w:pStyle w:val="Normlnweb"/>
        <w:numPr>
          <w:ilvl w:val="1"/>
          <w:numId w:val="1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adresni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́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identifikačni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sloužíci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k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jednoznačne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nezaměnitelne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identifikaci subjektu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̊ (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napr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̌.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jméno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příjmeni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́, titul,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příp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rodne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číslo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datum narození, adresa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trvalého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pobytu, IČ, DIČ)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umožňujíci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kontakt se subjektem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̊ (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kontaktni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napr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̌.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kontaktni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adresa,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číslo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telefonu,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číslo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faxu, e-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mailova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adresa a jiné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obdobne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informace) </w:t>
      </w:r>
    </w:p>
    <w:p w:rsidR="00AE577A" w:rsidRPr="00AE577A" w:rsidRDefault="00AE577A" w:rsidP="00AE577A">
      <w:pPr>
        <w:pStyle w:val="Normlnweb"/>
        <w:numPr>
          <w:ilvl w:val="1"/>
          <w:numId w:val="1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IP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adresy,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telefonni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čísla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jiné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provozni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lokalizačni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vyplývajíci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z provozu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služeb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sbírane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uchovávane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z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důvodu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zákonne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povinnosti </w:t>
      </w:r>
    </w:p>
    <w:p w:rsidR="00AE577A" w:rsidRPr="00AE577A" w:rsidRDefault="00AE577A" w:rsidP="00AE577A">
      <w:pPr>
        <w:pStyle w:val="Normlnweb"/>
        <w:numPr>
          <w:ilvl w:val="1"/>
          <w:numId w:val="1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IP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adresy a jiné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provozni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lokalizačni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k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nutne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míře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zachováni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kvality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služby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E577A" w:rsidRPr="00AE577A" w:rsidRDefault="00AE577A" w:rsidP="00AE577A">
      <w:pPr>
        <w:pStyle w:val="Normlnweb"/>
        <w:numPr>
          <w:ilvl w:val="1"/>
          <w:numId w:val="1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popisne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́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napr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̌.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bankovni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spojení) </w:t>
      </w:r>
    </w:p>
    <w:p w:rsidR="00AE577A" w:rsidRPr="00AE577A" w:rsidRDefault="00AE577A" w:rsidP="00AE577A">
      <w:pPr>
        <w:pStyle w:val="Normlnweb"/>
        <w:numPr>
          <w:ilvl w:val="1"/>
          <w:numId w:val="1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lastRenderedPageBreak/>
        <w:t>▪  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dalši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́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nezbytne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pro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plněni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smlouvy </w:t>
      </w:r>
    </w:p>
    <w:p w:rsidR="00AE577A" w:rsidRPr="00AE577A" w:rsidRDefault="00AE577A" w:rsidP="00AE577A">
      <w:pPr>
        <w:pStyle w:val="Normlnweb"/>
        <w:numPr>
          <w:ilvl w:val="1"/>
          <w:numId w:val="1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poskytnute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nad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rámec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příslušných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zákonu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zpracovávane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rámci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uděleného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souhlasu ze </w:t>
      </w:r>
    </w:p>
    <w:p w:rsidR="00AE577A" w:rsidRPr="00AE577A" w:rsidRDefault="00AE577A" w:rsidP="00AE577A">
      <w:pPr>
        <w:pStyle w:val="Normlnweb"/>
        <w:ind w:left="1440"/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strany subjektu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̊ (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fotografií,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použiti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za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účelem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personálních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řízeni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aj.) </w:t>
      </w:r>
    </w:p>
    <w:p w:rsidR="00AE577A" w:rsidRPr="00AE577A" w:rsidRDefault="00AE577A" w:rsidP="00AE577A">
      <w:pPr>
        <w:pStyle w:val="Normlnweb"/>
        <w:numPr>
          <w:ilvl w:val="0"/>
          <w:numId w:val="2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Účel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</w:p>
    <w:p w:rsidR="00AE577A" w:rsidRPr="00AE577A" w:rsidRDefault="00AE577A" w:rsidP="00AE577A">
      <w:pPr>
        <w:pStyle w:val="Normlnweb"/>
        <w:numPr>
          <w:ilvl w:val="1"/>
          <w:numId w:val="2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účely</w:t>
      </w:r>
      <w:proofErr w:type="spellEnd"/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obsažene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rámci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souhlasu subjektu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</w:p>
    <w:p w:rsidR="00AE577A" w:rsidRPr="00AE577A" w:rsidRDefault="00AE577A" w:rsidP="00AE577A">
      <w:pPr>
        <w:pStyle w:val="Normlnweb"/>
        <w:numPr>
          <w:ilvl w:val="1"/>
          <w:numId w:val="2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jednáni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́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smluvním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vztahu </w:t>
      </w:r>
    </w:p>
    <w:p w:rsidR="00AE577A" w:rsidRPr="00AE577A" w:rsidRDefault="00AE577A" w:rsidP="00AE577A">
      <w:pPr>
        <w:pStyle w:val="Normlnweb"/>
        <w:numPr>
          <w:ilvl w:val="1"/>
          <w:numId w:val="2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plněni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́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smlouvy </w:t>
      </w:r>
    </w:p>
    <w:p w:rsidR="00AE577A" w:rsidRPr="00AE577A" w:rsidRDefault="00AE577A" w:rsidP="00AE577A">
      <w:pPr>
        <w:pStyle w:val="Normlnweb"/>
        <w:numPr>
          <w:ilvl w:val="1"/>
          <w:numId w:val="2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ochrana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příjemce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nebo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jiných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dotčených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osob (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napr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̌.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vymáháni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pohledávek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</w:p>
    <w:p w:rsidR="00AE577A" w:rsidRPr="00AE577A" w:rsidRDefault="00AE577A" w:rsidP="00AE577A">
      <w:pPr>
        <w:pStyle w:val="Normlnweb"/>
        <w:numPr>
          <w:ilvl w:val="1"/>
          <w:numId w:val="2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archivnictvi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́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vedene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na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základe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zákona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E577A" w:rsidRPr="00AE577A" w:rsidRDefault="00AE577A" w:rsidP="00AE577A">
      <w:pPr>
        <w:pStyle w:val="Normlnweb"/>
        <w:numPr>
          <w:ilvl w:val="1"/>
          <w:numId w:val="2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výběrova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́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řízeni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na volná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pracovni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místa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E577A" w:rsidRPr="00AE577A" w:rsidRDefault="00AE577A" w:rsidP="00AE577A">
      <w:pPr>
        <w:pStyle w:val="Normlnweb"/>
        <w:numPr>
          <w:ilvl w:val="1"/>
          <w:numId w:val="2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plněni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́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zákonných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povinností ze strany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E577A" w:rsidRPr="00AE577A" w:rsidRDefault="00AE577A" w:rsidP="00AE577A">
      <w:pPr>
        <w:pStyle w:val="Normlnweb"/>
        <w:numPr>
          <w:ilvl w:val="0"/>
          <w:numId w:val="2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Způsob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́ a ochrany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</w:p>
    <w:p w:rsidR="00AE577A" w:rsidRPr="00AE577A" w:rsidRDefault="00AE577A" w:rsidP="00AE577A">
      <w:pPr>
        <w:pStyle w:val="Normlnweb"/>
        <w:ind w:left="720"/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provádi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je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prováděno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 jeho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provozovnách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pobočkách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sídle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jednotlivými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pověřenými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zaměstnanci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příp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zpracovatelem. Ke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docházi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prostřednictvím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výpočetni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techniky,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popr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̌. i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manuálním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způsobem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listinne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podobe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za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dodrženi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všech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bezpečnostních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zásad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pro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̊. Za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tímto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účelem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přijal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technickoorganizačni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opatřeni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k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zajištěni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ochrany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zejména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opatřeni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́, aby nemohlo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dojít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k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neoprávněnému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nebo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nahodilému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přístupu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k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údajům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jejich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změne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zničeni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ztráte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neoprávněným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přenosům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k jejich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neoprávněnému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jakoz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i k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jinému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zneužiti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̊.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Veškere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subjekty,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kterým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mohou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být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osobní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zpřístupněny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respektují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subjektů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na ochranu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soukromi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a jsou povinny postupovat dle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platných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předpisu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týkajících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se ochrany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̊. </w:t>
      </w:r>
    </w:p>
    <w:p w:rsidR="00AE577A" w:rsidRPr="00AE577A" w:rsidRDefault="00AE577A" w:rsidP="00AE577A">
      <w:pPr>
        <w:pStyle w:val="Normlnweb"/>
        <w:ind w:left="720"/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Vaše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data jsou tak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zejména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těchto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systémech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:rsidR="00AE577A" w:rsidRPr="00AE577A" w:rsidRDefault="00AE577A" w:rsidP="00AE577A">
      <w:pPr>
        <w:pStyle w:val="Normlnweb"/>
        <w:ind w:left="720"/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Identifikačni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subjektů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využívajících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„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telekomunikačni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službu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internet“ jsou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zpracovávány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 aplikaci </w:t>
      </w:r>
      <w:r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společnosti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Active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24</w:t>
      </w: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s.r.o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</w:p>
    <w:p w:rsidR="00AE577A" w:rsidRPr="00AE577A" w:rsidRDefault="00AE577A" w:rsidP="00AE577A">
      <w:pPr>
        <w:pStyle w:val="Normlnweb"/>
        <w:ind w:left="720"/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rámci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Provozních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lokalizačních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jsou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zpracovávány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kontaktních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osobách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subjektu a logy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jednotlivých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systémech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Dále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pak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konfiguračni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parametry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poskytovaných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služeb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záznamy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používáni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služby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Tyto jsou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zpracovávány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 aplikaci LOG,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je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provozována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/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umístěna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na serverech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společnosti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Active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24</w:t>
      </w: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s.r.o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E577A" w:rsidRPr="00AE577A" w:rsidRDefault="00AE577A" w:rsidP="00AE577A">
      <w:pPr>
        <w:pStyle w:val="Normlnweb"/>
        <w:numPr>
          <w:ilvl w:val="0"/>
          <w:numId w:val="2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Doba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</w:p>
    <w:p w:rsidR="00AE577A" w:rsidRPr="00AE577A" w:rsidRDefault="00AE577A" w:rsidP="00AE577A">
      <w:pPr>
        <w:pStyle w:val="Normlnweb"/>
        <w:ind w:left="720"/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V souladu se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lhůtami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uvedenými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příslušných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smlouvách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ve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spisovém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skartačním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řádu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příslušných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předpisech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jde o dobu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nezbytne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nutnou k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zajištěni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povinností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plynoucích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jak ze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závazkového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vztahu, tak i z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příslušných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předpisu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̊. </w:t>
      </w:r>
    </w:p>
    <w:p w:rsidR="00AE577A" w:rsidRPr="00AE577A" w:rsidRDefault="00AE577A" w:rsidP="00AE577A">
      <w:pPr>
        <w:pStyle w:val="Normlnweb"/>
        <w:ind w:left="720"/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Typicky jsou tak osobní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zpracovávány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plném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rozsahu pouze po dobu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trváni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smluvního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vztahu a po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skončeni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platnosti jsou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zpracovávány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pouze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rámci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zákonných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předpisu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̊. </w:t>
      </w:r>
    </w:p>
    <w:p w:rsidR="00AE577A" w:rsidRPr="00AE577A" w:rsidRDefault="00AE577A" w:rsidP="00AE577A">
      <w:pPr>
        <w:pStyle w:val="Normlnweb"/>
        <w:ind w:left="720"/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lastRenderedPageBreak/>
        <w:t>Během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trváni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smlouvy jsou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průběžne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zpracovávány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zejména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provozni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lokalizačni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uchováváme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po dobu 12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měsícu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s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výjimkou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nutných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pro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statistik pro ČTÚ. </w:t>
      </w:r>
    </w:p>
    <w:p w:rsidR="00AE577A" w:rsidRPr="00AE577A" w:rsidRDefault="00AE577A" w:rsidP="00AE577A">
      <w:pPr>
        <w:pStyle w:val="Normlnweb"/>
        <w:ind w:left="720"/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Po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ukončeni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smluvního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vztahu jsou osobní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uchovány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pouze po dobu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nezbytne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nutnou z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důvodu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oprávněného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důvodu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pro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plněni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zákonných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povinností,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nejdéle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však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po 10let. </w:t>
      </w:r>
    </w:p>
    <w:p w:rsidR="00AE577A" w:rsidRPr="00AE577A" w:rsidRDefault="00AE577A" w:rsidP="00AE577A">
      <w:pPr>
        <w:pStyle w:val="Normlnweb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Uvedene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lhůty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plati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vyrovnáni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všech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závazku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̊ (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zapůjčene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zařízeni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́, faktury, </w:t>
      </w:r>
      <w:proofErr w:type="gram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vybavení,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atd.),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opačném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případe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budou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vaše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uchovány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az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do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vzájemného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vypořádáni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́. Tyto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lhůty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mohou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být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téz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prodlouženy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napr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̌.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soudním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sporem,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daňovou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kontrolou apod. </w:t>
      </w:r>
    </w:p>
    <w:p w:rsidR="00AE577A" w:rsidRPr="00AE577A" w:rsidRDefault="00AE577A" w:rsidP="00AE577A">
      <w:pPr>
        <w:pStyle w:val="Normlnweb"/>
        <w:numPr>
          <w:ilvl w:val="0"/>
          <w:numId w:val="3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Předáváni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jiným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osobám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E577A" w:rsidRPr="00AE577A" w:rsidRDefault="00AE577A" w:rsidP="00AE577A">
      <w:pPr>
        <w:pStyle w:val="Normlnweb"/>
        <w:ind w:left="720"/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Vaše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osobní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zpřístupni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jiným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osobám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pouze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obvyklém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rozsahu a pouze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zpracovatelům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jiným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příjemcům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typicky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dodavatelům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externích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služeb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za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dodrženi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všech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zásad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z GDPR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vyplívajících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Dále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mohou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být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osobní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zpřístupňovány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nezbytne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nutném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rozsahu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právním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ekonomickým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daňovým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poradcům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Osobní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týkajíci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dlužníku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mohou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být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zpřístupněny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take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inkasním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agenturám</w:t>
      </w:r>
      <w:proofErr w:type="spellEnd"/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to za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účelem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vymáháni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pohledávek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Na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vyžádáni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případe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podezřeni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na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protiprávni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jednáni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mohou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být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osobní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předane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take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orgánům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veřejne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AE577A" w:rsidRPr="00AE577A" w:rsidRDefault="00AE577A" w:rsidP="00AE577A">
      <w:pPr>
        <w:pStyle w:val="Normlnweb"/>
        <w:numPr>
          <w:ilvl w:val="0"/>
          <w:numId w:val="3"/>
        </w:numPr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Předáváni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̊ do ciziny </w:t>
      </w:r>
    </w:p>
    <w:p w:rsidR="00AE577A" w:rsidRPr="00AE577A" w:rsidRDefault="00AE577A" w:rsidP="00AE577A">
      <w:pPr>
        <w:pStyle w:val="Normlnweb"/>
        <w:ind w:left="720"/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Osobní data jsou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zpracovávána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převážne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na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územi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EU a nejsou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cílene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mimo EU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vydávána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Výjimkou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jsou data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uložena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těch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počítačových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systémech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maji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umístěne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servery mimo EU, obvykle se jedná o servery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nacházejíci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se v USA.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takovém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případe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musi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být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splněny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podmínky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schválene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Evropskou komisí pro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bezpečny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přenos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dat mezi EU a USA, tzv.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Privacy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Shield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AE577A" w:rsidRPr="00AE577A" w:rsidRDefault="00AE577A" w:rsidP="00AE577A">
      <w:pPr>
        <w:pStyle w:val="Normlnweb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10.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Právni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základ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</w:p>
    <w:p w:rsidR="00AE577A" w:rsidRPr="00AE577A" w:rsidRDefault="00AE577A" w:rsidP="00AE577A">
      <w:pPr>
        <w:pStyle w:val="Normlnweb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zpracováva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se souhlasem subjektu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s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výjimkou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zákonem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stanovených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případu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̊, kdy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nevyžaduje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souhlas subjektu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̊.</w:t>
      </w: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br/>
        <w:t xml:space="preserve">V souladu se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čl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6 odst. 1 GDPR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může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bez souhlasu subjektu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zpracovávat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tyto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:rsidR="00AE577A" w:rsidRPr="00AE577A" w:rsidRDefault="00AE577A" w:rsidP="00AE577A">
      <w:pPr>
        <w:pStyle w:val="Normlnweb"/>
        <w:numPr>
          <w:ilvl w:val="0"/>
          <w:numId w:val="4"/>
        </w:num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subjekt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udělil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souhlas pro jeden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více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konkrétních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účelu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̊, </w:t>
      </w:r>
    </w:p>
    <w:p w:rsidR="00AE577A" w:rsidRPr="00AE577A" w:rsidRDefault="00AE577A" w:rsidP="00AE577A">
      <w:pPr>
        <w:pStyle w:val="Normlnweb"/>
        <w:numPr>
          <w:ilvl w:val="0"/>
          <w:numId w:val="4"/>
        </w:num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́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nezbytne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pro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splněni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smlouvy,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jejíz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smluvni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stranou je subjekt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̊, nebo pro provedení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opatřeni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přijatých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před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uzavřením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smlouvy na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žádost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tohoto subjektu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̊, </w:t>
      </w:r>
    </w:p>
    <w:p w:rsidR="00AE577A" w:rsidRPr="00AE577A" w:rsidRDefault="00AE577A" w:rsidP="00AE577A">
      <w:pPr>
        <w:pStyle w:val="Normlnweb"/>
        <w:numPr>
          <w:ilvl w:val="0"/>
          <w:numId w:val="4"/>
        </w:num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́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nezbytne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pro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splněni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povinnosti,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se na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vztahuje, </w:t>
      </w:r>
    </w:p>
    <w:p w:rsidR="00AE577A" w:rsidRPr="00AE577A" w:rsidRDefault="00AE577A" w:rsidP="00AE577A">
      <w:pPr>
        <w:pStyle w:val="Normlnweb"/>
        <w:numPr>
          <w:ilvl w:val="0"/>
          <w:numId w:val="4"/>
        </w:num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́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nezbytne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pro ochranu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životne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důležitých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zájmu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subjektu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nebo jiné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fyzicke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osoby, </w:t>
      </w:r>
    </w:p>
    <w:p w:rsidR="00AE577A" w:rsidRPr="00AE577A" w:rsidRDefault="00AE577A" w:rsidP="00AE577A">
      <w:pPr>
        <w:pStyle w:val="Normlnweb"/>
        <w:numPr>
          <w:ilvl w:val="0"/>
          <w:numId w:val="4"/>
        </w:num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́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nezbytne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pro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splněni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úkolu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prováděného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veřejném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zájmu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nebo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výkonu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veřejne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moci,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kterým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pověřen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</w:p>
    <w:p w:rsidR="00AE577A" w:rsidRPr="00AE577A" w:rsidRDefault="00AE577A" w:rsidP="00AE577A">
      <w:pPr>
        <w:pStyle w:val="Normlnweb"/>
        <w:numPr>
          <w:ilvl w:val="0"/>
          <w:numId w:val="4"/>
        </w:num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AE577A">
        <w:rPr>
          <w:rFonts w:ascii="SegoeUISymbol" w:hAnsi="SegoeUISymbol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▪  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́</w:t>
      </w:r>
      <w:proofErr w:type="gram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nezbytne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pro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účely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oprávněných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zájmu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příslušného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třeti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strany,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krome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případu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̊, kdy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před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těmito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zájmy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maji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přednost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zájmy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nebo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základni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svobody subjektu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vyžadujíci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ochranu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̊. </w:t>
      </w:r>
    </w:p>
    <w:p w:rsidR="00AE577A" w:rsidRDefault="00AE577A" w:rsidP="00AE577A">
      <w:pPr>
        <w:pStyle w:val="Normlnweb"/>
        <w:ind w:left="720"/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</w:p>
    <w:p w:rsidR="00AE577A" w:rsidRPr="00AE577A" w:rsidRDefault="00AE577A" w:rsidP="00AE577A">
      <w:pPr>
        <w:pStyle w:val="Normlnweb"/>
        <w:ind w:left="720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11.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Práva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subjektů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</w:p>
    <w:p w:rsidR="00AE577A" w:rsidRPr="00AE577A" w:rsidRDefault="00AE577A" w:rsidP="00AE577A">
      <w:pPr>
        <w:pStyle w:val="Normlnweb"/>
        <w:ind w:left="720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Subjekt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dle GDPR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následujíci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:rsidR="00AE577A" w:rsidRPr="00AE577A" w:rsidRDefault="00AE577A" w:rsidP="00AE577A">
      <w:pPr>
        <w:pStyle w:val="Normlnweb"/>
        <w:numPr>
          <w:ilvl w:val="0"/>
          <w:numId w:val="5"/>
        </w:numPr>
        <w:rPr>
          <w:rFonts w:ascii="ArialMT" w:hAnsi="ArialMT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požadovat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přístup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k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údajům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zpracováva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́, tedy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získat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od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informace, zda osobní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se ho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týkaji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́, jsou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nejsou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zpracovávány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Pokud je tomu tak,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získat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přístup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k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těmto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údajům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k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dalším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informacím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uvedeným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čl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15 GDPR, </w:t>
      </w:r>
    </w:p>
    <w:p w:rsidR="00AE577A" w:rsidRPr="00AE577A" w:rsidRDefault="00AE577A" w:rsidP="00AE577A">
      <w:pPr>
        <w:pStyle w:val="Normlnweb"/>
        <w:numPr>
          <w:ilvl w:val="0"/>
          <w:numId w:val="5"/>
        </w:numPr>
        <w:rPr>
          <w:rFonts w:ascii="ArialMT" w:hAnsi="ArialMT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požadovat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opravu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doplněni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zpracováva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́, pokud jsou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nepřesne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́ (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čl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16 GDPR), </w:t>
      </w:r>
    </w:p>
    <w:p w:rsidR="00AE577A" w:rsidRPr="00AE577A" w:rsidRDefault="00AE577A" w:rsidP="00AE577A">
      <w:pPr>
        <w:pStyle w:val="Normlnweb"/>
        <w:numPr>
          <w:ilvl w:val="0"/>
          <w:numId w:val="5"/>
        </w:numPr>
        <w:rPr>
          <w:rFonts w:ascii="ArialMT" w:hAnsi="ArialMT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požadovat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odstraněni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případech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jsou upraveny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čl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17 GDPR, </w:t>
      </w:r>
    </w:p>
    <w:p w:rsidR="00AE577A" w:rsidRPr="00AE577A" w:rsidRDefault="00AE577A" w:rsidP="00AE577A">
      <w:pPr>
        <w:pStyle w:val="Normlnweb"/>
        <w:numPr>
          <w:ilvl w:val="0"/>
          <w:numId w:val="5"/>
        </w:numPr>
        <w:rPr>
          <w:rFonts w:ascii="ArialMT" w:hAnsi="ArialMT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požadovat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omezení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případech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jsou upraveny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čl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18 GDPR, </w:t>
      </w:r>
    </w:p>
    <w:p w:rsidR="00AE577A" w:rsidRPr="00AE577A" w:rsidRDefault="00AE577A" w:rsidP="00AE577A">
      <w:pPr>
        <w:pStyle w:val="Normlnweb"/>
        <w:numPr>
          <w:ilvl w:val="0"/>
          <w:numId w:val="5"/>
        </w:numPr>
        <w:rPr>
          <w:rFonts w:ascii="ArialMT" w:hAnsi="ArialMT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získat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ty osobní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se ho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týkaji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jsou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s jeho souhlasem, nebo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jsou </w:t>
      </w:r>
    </w:p>
    <w:p w:rsidR="00AE577A" w:rsidRPr="00AE577A" w:rsidRDefault="00AE577A" w:rsidP="00AE577A">
      <w:pPr>
        <w:pStyle w:val="Normlnweb"/>
        <w:ind w:left="720"/>
        <w:rPr>
          <w:rFonts w:ascii="ArialMT" w:hAnsi="ArialMT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pro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plněni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smlouvy nebo pro provedení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opatřeni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přijatých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před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uzavřením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smlouvy, </w:t>
      </w:r>
    </w:p>
    <w:p w:rsidR="00AE577A" w:rsidRPr="007D4B58" w:rsidRDefault="00AE577A" w:rsidP="007D4B58">
      <w:pPr>
        <w:pStyle w:val="Normlnweb"/>
        <w:numPr>
          <w:ilvl w:val="0"/>
          <w:numId w:val="5"/>
        </w:numPr>
        <w:rPr>
          <w:rFonts w:ascii="ArialMT" w:hAnsi="ArialMT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získat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tyto osobní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strukturovaném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běžne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používaném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strojove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čitelném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formátu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přičemz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7D4B58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právo</w:t>
      </w:r>
      <w:proofErr w:type="spellEnd"/>
      <w:r w:rsidRPr="007D4B58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D4B58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předat</w:t>
      </w:r>
      <w:proofErr w:type="spellEnd"/>
      <w:r w:rsidRPr="007D4B58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tyto </w:t>
      </w:r>
      <w:proofErr w:type="spellStart"/>
      <w:r w:rsidRPr="007D4B58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7D4B58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D4B58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jinému</w:t>
      </w:r>
      <w:proofErr w:type="spellEnd"/>
      <w:r w:rsidRPr="007D4B58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D4B58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správci</w:t>
      </w:r>
      <w:proofErr w:type="spellEnd"/>
      <w:r w:rsidRPr="007D4B58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a to za </w:t>
      </w:r>
      <w:proofErr w:type="spellStart"/>
      <w:r w:rsidRPr="007D4B58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podmínek</w:t>
      </w:r>
      <w:proofErr w:type="spellEnd"/>
      <w:r w:rsidRPr="007D4B58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s </w:t>
      </w:r>
      <w:proofErr w:type="spellStart"/>
      <w:r w:rsidRPr="007D4B58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omezeními</w:t>
      </w:r>
      <w:proofErr w:type="spellEnd"/>
      <w:r w:rsidRPr="007D4B58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D4B58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uvedenými</w:t>
      </w:r>
      <w:proofErr w:type="spellEnd"/>
      <w:r w:rsidRPr="007D4B58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 </w:t>
      </w:r>
      <w:proofErr w:type="spellStart"/>
      <w:r w:rsidRPr="007D4B58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čl</w:t>
      </w:r>
      <w:proofErr w:type="spellEnd"/>
      <w:r w:rsidRPr="007D4B58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20 GDPR, </w:t>
      </w:r>
    </w:p>
    <w:p w:rsidR="00AE577A" w:rsidRPr="00AE577A" w:rsidRDefault="00AE577A" w:rsidP="00AE577A">
      <w:pPr>
        <w:pStyle w:val="Normlnweb"/>
        <w:numPr>
          <w:ilvl w:val="0"/>
          <w:numId w:val="6"/>
        </w:numPr>
        <w:rPr>
          <w:rFonts w:ascii="ArialMT" w:hAnsi="ArialMT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vznést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námitku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proti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dle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čl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21 GDPR </w:t>
      </w:r>
    </w:p>
    <w:p w:rsidR="00AE577A" w:rsidRPr="00AE577A" w:rsidRDefault="00AE577A" w:rsidP="00AE577A">
      <w:pPr>
        <w:pStyle w:val="Normlnweb"/>
        <w:numPr>
          <w:ilvl w:val="0"/>
          <w:numId w:val="6"/>
        </w:numPr>
        <w:rPr>
          <w:rFonts w:ascii="ArialMT" w:hAnsi="ArialMT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podat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stížnost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k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dozorovému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úřadu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– subjekt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na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stížnost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na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domněle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porušeni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</w:p>
    <w:p w:rsidR="00AE577A" w:rsidRPr="00AE577A" w:rsidRDefault="00AE577A" w:rsidP="00AE577A">
      <w:pPr>
        <w:pStyle w:val="Normlnweb"/>
        <w:ind w:left="720"/>
        <w:rPr>
          <w:rFonts w:ascii="ArialMT" w:hAnsi="ArialMT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obecného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nařízeni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dozorového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úřadu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především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členském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státe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obvyklého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pobytu nebo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výkonu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AE577A" w:rsidRPr="00AE577A" w:rsidRDefault="00AE577A" w:rsidP="00AE577A">
      <w:pPr>
        <w:pStyle w:val="Normlnweb"/>
        <w:ind w:left="720"/>
        <w:rPr>
          <w:rFonts w:ascii="ArialMT" w:hAnsi="ArialMT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přijeti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každe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žádosti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dle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výše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uvedených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bodů budeme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žadatele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neprodlene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informovat a bez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zbytečného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odkladu,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nejpozději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však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do 1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měsíce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podáme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požadovanou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informaci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informaci 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přijatých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opatřeních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Tuto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lhůtu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možne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případe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potřeby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s ohledem na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složitost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počet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žádosti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prodloužit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dalši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dva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měsíce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určitých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specifických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případech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definovaných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 GDPR nejsme povinni zcela nebo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zčásti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žádosti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vyhovět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Bude tomu tak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zejména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bude-li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žádost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zjevne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nedůvodna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nebo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nepřiměřena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zejména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protože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se opakuje.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takových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případech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můžeme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uložit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přiměřeny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poplatek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zohledňujíci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administrativni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náklady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spojene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poskytnutím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požadovaných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informací nebo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odmítnout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žádosti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vyhovět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O tomto bude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žadatel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vždy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informován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AE577A" w:rsidRPr="00AE577A" w:rsidRDefault="00AE577A" w:rsidP="00AE577A">
      <w:pPr>
        <w:pStyle w:val="Normlnweb"/>
        <w:ind w:left="720"/>
        <w:rPr>
          <w:rFonts w:ascii="ArialMT" w:hAnsi="ArialMT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případe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̌, kdy budeme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mít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důvodne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pochybnosti 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totožnosti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žadatele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o poskytnutí informací,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můžeme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jej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požádat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o poskytnutí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dodatečných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informací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nezbytných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k potvrzení jeho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totožnosti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AE577A" w:rsidRPr="00AE577A" w:rsidRDefault="00AE577A" w:rsidP="00AE577A">
      <w:pPr>
        <w:pStyle w:val="Normlnweb"/>
        <w:ind w:left="720"/>
        <w:rPr>
          <w:rFonts w:ascii="ArialMT" w:hAnsi="ArialMT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Informace 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uplatněni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subjektu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si po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přiměřenou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dobu (typicky 3 roky)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uložíme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za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účelem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evidence 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dokladováni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této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skutečnosti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pro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statisticke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účely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zlepšováni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našich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služeb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ochrany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našich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AE577A" w:rsidRPr="00AE577A" w:rsidRDefault="00AE577A" w:rsidP="00AE577A">
      <w:pPr>
        <w:pStyle w:val="Normlnweb"/>
        <w:ind w:left="720"/>
        <w:rPr>
          <w:rFonts w:ascii="ArialMT" w:hAnsi="ArialMT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případe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̌, kdy se subjekt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domníva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že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je s jeho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osobními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nakládáno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neoprávněne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či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jinak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porušujeme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jeho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podat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stížnost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dozorového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úřadu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AE577A" w:rsidRPr="00AE577A" w:rsidRDefault="00AE577A" w:rsidP="00AE577A">
      <w:pPr>
        <w:pStyle w:val="Normlnweb"/>
        <w:ind w:left="720"/>
        <w:rPr>
          <w:rFonts w:ascii="ArialMT" w:hAnsi="ArialMT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12.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Právo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na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námitku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E577A" w:rsidRPr="00AE577A" w:rsidRDefault="00AE577A" w:rsidP="00AE577A">
      <w:pPr>
        <w:pStyle w:val="Normlnweb"/>
        <w:ind w:left="720"/>
        <w:rPr>
          <w:rFonts w:ascii="ArialMT" w:hAnsi="ArialMT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Pokud je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právním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důvodem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tzv.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oprávněny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zájem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subjekt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kdykoli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vznést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věcnou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námitku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proti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takovému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̊.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takovém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případe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nebudou osobní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dále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zpracovávány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pokud nebudou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dány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závažne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oprávněne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důvody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pro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převáži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nad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zájmy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subjektu nebo jeho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svobodami, nebo pokud nebudou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zpracovávány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pro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určeni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výkon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nebo obhajobu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právních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nároku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̊.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Námitku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proti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může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dotčena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osoba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vznést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prostřednictvím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kontaktních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uvedených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níže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V e-mailu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prosím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uveďte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konkrétni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situaci,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ktera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Vás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vede k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závěru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že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by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neměl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Vaše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zpracovávat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V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případe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zpracováni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pro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účely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přímého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marketingu je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možne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vždy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vznést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námitku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bez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dalšího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zdůvodňováni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́. </w:t>
      </w:r>
    </w:p>
    <w:p w:rsidR="00AE577A" w:rsidRPr="00AE577A" w:rsidRDefault="00AE577A" w:rsidP="00AE577A">
      <w:pPr>
        <w:pStyle w:val="Normlnweb"/>
        <w:ind w:left="720"/>
        <w:rPr>
          <w:rFonts w:ascii="ArialMT" w:hAnsi="ArialMT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13. </w:t>
      </w:r>
      <w:proofErr w:type="spellStart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Kontaktni</w:t>
      </w:r>
      <w:proofErr w:type="spellEnd"/>
      <w:r w:rsidRPr="00AE577A">
        <w:rPr>
          <w:rFonts w:ascii="Calibri" w:hAnsi="Calibri" w:cs="Calibri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́ informace </w:t>
      </w:r>
    </w:p>
    <w:p w:rsidR="00AE577A" w:rsidRPr="00AE577A" w:rsidRDefault="00AE577A" w:rsidP="00AE577A">
      <w:pPr>
        <w:pStyle w:val="Normlnweb"/>
        <w:ind w:left="720"/>
        <w:rPr>
          <w:rFonts w:ascii="ArialMT" w:hAnsi="ArialMT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V ohledu ochrany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Vašich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osobních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údaju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̊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nás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můžete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kdykoliv kontaktovat na adrese: </w:t>
      </w:r>
    </w:p>
    <w:p w:rsidR="00AE577A" w:rsidRDefault="00AE577A" w:rsidP="00AE577A">
      <w:pPr>
        <w:ind w:firstLine="708"/>
      </w:pPr>
      <w:r>
        <w:rPr>
          <w:rFonts w:ascii="Helvetica" w:hAnsi="Helvetica"/>
          <w:color w:val="000000"/>
          <w:sz w:val="18"/>
          <w:szCs w:val="18"/>
        </w:rPr>
        <w:t xml:space="preserve">DEREIF Prag </w:t>
      </w:r>
      <w:proofErr w:type="spellStart"/>
      <w:r>
        <w:rPr>
          <w:rFonts w:ascii="Helvetica" w:hAnsi="Helvetica"/>
          <w:color w:val="000000"/>
          <w:sz w:val="18"/>
          <w:szCs w:val="18"/>
        </w:rPr>
        <w:t>Oasis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s.r.o.</w:t>
      </w:r>
    </w:p>
    <w:p w:rsidR="00AE577A" w:rsidRDefault="00AE577A" w:rsidP="00AE577A">
      <w:pPr>
        <w:ind w:firstLine="708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Antala Staška 2027/79</w:t>
      </w:r>
    </w:p>
    <w:p w:rsidR="00AE577A" w:rsidRDefault="00AE577A" w:rsidP="00AE577A">
      <w:pPr>
        <w:ind w:firstLine="708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Praha 4</w:t>
      </w:r>
    </w:p>
    <w:p w:rsidR="00AE577A" w:rsidRDefault="00AE577A" w:rsidP="00AE577A">
      <w:pPr>
        <w:ind w:firstLine="708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140</w:t>
      </w:r>
      <w:r>
        <w:rPr>
          <w:rFonts w:ascii="Helvetica" w:hAnsi="Helvetica"/>
          <w:color w:val="000000"/>
          <w:sz w:val="18"/>
          <w:szCs w:val="18"/>
        </w:rPr>
        <w:t xml:space="preserve"> </w:t>
      </w:r>
      <w:r>
        <w:rPr>
          <w:rFonts w:ascii="Helvetica" w:hAnsi="Helvetica"/>
          <w:color w:val="000000"/>
          <w:sz w:val="18"/>
          <w:szCs w:val="18"/>
        </w:rPr>
        <w:t>00</w:t>
      </w:r>
    </w:p>
    <w:p w:rsidR="00AE577A" w:rsidRDefault="00AE577A" w:rsidP="00AE577A">
      <w:pPr>
        <w:ind w:firstLine="708"/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:rsidR="00AE577A" w:rsidRDefault="00AE577A" w:rsidP="00AE577A">
      <w:pPr>
        <w:ind w:firstLine="708"/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:rsidR="00AE577A" w:rsidRDefault="00AE577A" w:rsidP="00AE577A">
      <w:pPr>
        <w:ind w:firstLine="708"/>
      </w:pPr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e-mail:</w:t>
      </w:r>
      <w:r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elvetica" w:hAnsi="Helvetica"/>
          <w:color w:val="000000"/>
          <w:sz w:val="18"/>
          <w:szCs w:val="18"/>
        </w:rPr>
        <w:t>info@oasisflorenc.cz </w:t>
      </w:r>
    </w:p>
    <w:p w:rsidR="00AE577A" w:rsidRPr="00AE577A" w:rsidRDefault="00AE577A" w:rsidP="00AE577A">
      <w:pPr>
        <w:pStyle w:val="Normlnweb"/>
        <w:ind w:left="720"/>
        <w:rPr>
          <w:rFonts w:ascii="ArialMT" w:hAnsi="ArialMT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AE577A">
        <w:rPr>
          <w:rFonts w:ascii="Calibri" w:hAnsi="Calibri" w:cs="Calibr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Toto </w:t>
      </w:r>
      <w:proofErr w:type="spellStart"/>
      <w:r w:rsidRPr="00AE577A">
        <w:rPr>
          <w:rFonts w:ascii="Calibri" w:hAnsi="Calibri" w:cs="Calibr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prohlášeni</w:t>
      </w:r>
      <w:proofErr w:type="spellEnd"/>
      <w:r w:rsidRPr="00AE577A">
        <w:rPr>
          <w:rFonts w:ascii="Calibri" w:hAnsi="Calibri" w:cs="Calibr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je </w:t>
      </w:r>
      <w:proofErr w:type="spellStart"/>
      <w:r w:rsidRPr="00AE577A">
        <w:rPr>
          <w:rFonts w:ascii="Calibri" w:hAnsi="Calibri" w:cs="Calibr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veřejne</w:t>
      </w:r>
      <w:proofErr w:type="spellEnd"/>
      <w:r w:rsidRPr="00AE577A">
        <w:rPr>
          <w:rFonts w:ascii="Calibri" w:hAnsi="Calibri" w:cs="Calibr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přístupne</w:t>
      </w:r>
      <w:proofErr w:type="spellEnd"/>
      <w:r w:rsidRPr="00AE577A">
        <w:rPr>
          <w:rFonts w:ascii="Calibri" w:hAnsi="Calibri" w:cs="Calibr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́ na </w:t>
      </w:r>
      <w:proofErr w:type="spellStart"/>
      <w:r w:rsidRPr="00AE577A">
        <w:rPr>
          <w:rFonts w:ascii="Calibri" w:hAnsi="Calibri" w:cs="Calibr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internetových</w:t>
      </w:r>
      <w:proofErr w:type="spellEnd"/>
      <w:r w:rsidRPr="00AE577A">
        <w:rPr>
          <w:rFonts w:ascii="Calibri" w:hAnsi="Calibri" w:cs="Calibr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stránkách</w:t>
      </w:r>
      <w:proofErr w:type="spellEnd"/>
      <w:r w:rsidRPr="00AE577A">
        <w:rPr>
          <w:rFonts w:ascii="Calibri" w:hAnsi="Calibri" w:cs="Calibr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E577A">
        <w:rPr>
          <w:rFonts w:ascii="Calibri" w:hAnsi="Calibri" w:cs="Calibr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a v </w:t>
      </w:r>
      <w:proofErr w:type="spellStart"/>
      <w:r w:rsidRPr="00AE577A">
        <w:rPr>
          <w:rFonts w:ascii="Calibri" w:hAnsi="Calibri" w:cs="Calibr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provozovne</w:t>
      </w:r>
      <w:proofErr w:type="spellEnd"/>
      <w:r w:rsidRPr="00AE577A">
        <w:rPr>
          <w:rFonts w:ascii="Calibri" w:hAnsi="Calibri" w:cs="Calibr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̌ </w:t>
      </w:r>
      <w:proofErr w:type="spellStart"/>
      <w:r w:rsidRPr="00AE577A">
        <w:rPr>
          <w:rFonts w:ascii="Calibri" w:hAnsi="Calibri" w:cs="Calibr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správce</w:t>
      </w:r>
      <w:proofErr w:type="spellEnd"/>
      <w:r w:rsidRPr="00AE577A">
        <w:rPr>
          <w:rFonts w:ascii="Calibri" w:hAnsi="Calibri" w:cs="Calibr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1C7245" w:rsidRPr="00AE577A" w:rsidRDefault="007D4B58">
      <w:p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sectPr w:rsidR="001C7245" w:rsidRPr="00AE577A" w:rsidSect="00AF123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UISymbol">
    <w:altName w:val="Segoe UI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E3860"/>
    <w:multiLevelType w:val="multilevel"/>
    <w:tmpl w:val="EFD2CE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96718"/>
    <w:multiLevelType w:val="multilevel"/>
    <w:tmpl w:val="BC7EE7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14EFD"/>
    <w:multiLevelType w:val="multilevel"/>
    <w:tmpl w:val="2338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80EDD"/>
    <w:multiLevelType w:val="multilevel"/>
    <w:tmpl w:val="E846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EE2F0C"/>
    <w:multiLevelType w:val="multilevel"/>
    <w:tmpl w:val="58D2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DA38BF"/>
    <w:multiLevelType w:val="multilevel"/>
    <w:tmpl w:val="4FFC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7A"/>
    <w:rsid w:val="002D5A11"/>
    <w:rsid w:val="007D4B58"/>
    <w:rsid w:val="00925364"/>
    <w:rsid w:val="00AE577A"/>
    <w:rsid w:val="00AF1238"/>
    <w:rsid w:val="00D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B6B115"/>
  <w14:defaultImageDpi w14:val="32767"/>
  <w15:chartTrackingRefBased/>
  <w15:docId w15:val="{5CE15033-D2DC-784C-B2E4-DAA9FF29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AE577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E57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2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9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1915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Svoboda</dc:creator>
  <cp:keywords/>
  <dc:description/>
  <cp:lastModifiedBy>Patrik Svoboda</cp:lastModifiedBy>
  <cp:revision>1</cp:revision>
  <dcterms:created xsi:type="dcterms:W3CDTF">2020-11-24T02:22:00Z</dcterms:created>
  <dcterms:modified xsi:type="dcterms:W3CDTF">2020-11-24T02:35:00Z</dcterms:modified>
</cp:coreProperties>
</file>